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F7" w:rsidRPr="00C631F7" w:rsidRDefault="00C631F7" w:rsidP="00C631F7">
      <w:pPr>
        <w:shd w:val="clear" w:color="auto" w:fill="D9EDF7"/>
        <w:spacing w:before="150" w:line="240" w:lineRule="auto"/>
        <w:jc w:val="center"/>
        <w:outlineLvl w:val="0"/>
        <w:rPr>
          <w:rFonts w:ascii="Helvetica" w:eastAsia="Times New Roman" w:hAnsi="Helvetica" w:cs="Helvetica"/>
          <w:color w:val="3A87AD"/>
          <w:kern w:val="36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A87AD"/>
          <w:kern w:val="36"/>
          <w:sz w:val="27"/>
          <w:szCs w:val="27"/>
          <w:lang w:eastAsia="es-UY"/>
        </w:rPr>
        <w:t>Decreto </w:t>
      </w:r>
      <w:r w:rsidRPr="00C631F7">
        <w:rPr>
          <w:rFonts w:ascii="Helvetica" w:eastAsia="Times New Roman" w:hAnsi="Helvetica" w:cs="Helvetica"/>
          <w:b/>
          <w:bCs/>
          <w:color w:val="3A87AD"/>
          <w:kern w:val="36"/>
          <w:sz w:val="27"/>
          <w:szCs w:val="27"/>
          <w:lang w:eastAsia="es-UY"/>
        </w:rPr>
        <w:t>N° 271/980</w:t>
      </w:r>
    </w:p>
    <w:p w:rsidR="00C631F7" w:rsidRPr="00C631F7" w:rsidRDefault="00C631F7" w:rsidP="00C631F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4"/>
          <w:szCs w:val="24"/>
          <w:lang w:eastAsia="es-UY"/>
        </w:rPr>
        <w:t>ADMINISTRACION DE JUSTICIA - DEFENSORES DE OFICIO</w:t>
      </w:r>
    </w:p>
    <w:p w:rsidR="00C631F7" w:rsidRPr="00C631F7" w:rsidRDefault="00C631F7" w:rsidP="00C6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br/>
      </w:r>
      <w:r w:rsidRPr="00C631F7">
        <w:rPr>
          <w:rFonts w:ascii="Times New Roman" w:eastAsia="Times New Roman" w:hAnsi="Times New Roman" w:cs="Times New Roman"/>
          <w:sz w:val="24"/>
          <w:szCs w:val="24"/>
          <w:lang w:eastAsia="es-UY"/>
        </w:rPr>
        <w:t>Documento Actualizado</w:t>
      </w:r>
      <w:r w:rsidRPr="00C631F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UY"/>
        </w:rPr>
        <w:t> </w:t>
      </w:r>
    </w:p>
    <w:p w:rsidR="00C631F7" w:rsidRPr="00C631F7" w:rsidRDefault="00C631F7" w:rsidP="00C6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631F7" w:rsidRPr="00C631F7" w:rsidRDefault="00C631F7" w:rsidP="00C631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br/>
      </w:r>
    </w:p>
    <w:p w:rsidR="00C631F7" w:rsidRPr="00C631F7" w:rsidRDefault="00C631F7" w:rsidP="00C631F7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t>Promulgación: 13/05/1980</w:t>
      </w:r>
    </w:p>
    <w:p w:rsidR="00C631F7" w:rsidRPr="00C631F7" w:rsidRDefault="00C631F7" w:rsidP="00C631F7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t>Publicación: 03/07/1980</w:t>
      </w:r>
    </w:p>
    <w:p w:rsidR="00C631F7" w:rsidRPr="00C631F7" w:rsidRDefault="00C631F7" w:rsidP="00C63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25159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425159"/>
          <w:sz w:val="21"/>
          <w:szCs w:val="21"/>
          <w:lang w:eastAsia="es-UY"/>
        </w:rPr>
        <w:t>Registro Nacional de Leyes y Decretos:</w:t>
      </w:r>
    </w:p>
    <w:p w:rsidR="00C631F7" w:rsidRPr="00C631F7" w:rsidRDefault="00C631F7" w:rsidP="00C63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t>   Tomo: 1</w:t>
      </w:r>
    </w:p>
    <w:p w:rsidR="00C631F7" w:rsidRPr="00C631F7" w:rsidRDefault="00C631F7" w:rsidP="00C63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t>   Semestre: 1</w:t>
      </w:r>
    </w:p>
    <w:p w:rsidR="00C631F7" w:rsidRPr="00C631F7" w:rsidRDefault="00C631F7" w:rsidP="00C63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t>   Año: 1980</w:t>
      </w:r>
    </w:p>
    <w:p w:rsidR="00C631F7" w:rsidRPr="00C631F7" w:rsidRDefault="00C631F7" w:rsidP="00C63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t>   Página: 1005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Visto: la reciente creación de los Servicios de Defensorías de Oficio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proofErr w:type="gramStart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en</w:t>
      </w:r>
      <w:proofErr w:type="gramEnd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el Interior de la República.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Considerando: I) Que impuesto de la necesidad de dictar normas que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regulen su actividad y asimismo de adaptar a la realidad judicial -en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proceso de constante innovación- las que rigen para las Defensorías de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Oficio de la Capital, la Dirección General de Defensorías de Oficio ha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suministrado al Ministerio de Justicia su opinión de cómo y de qué manera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debe organizarse el servicio en los distintos fueros en que debe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reglamentarse el mismo;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II) Que el Poder Ejecutivo recoge -por compartir ésta- la iniciativa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por la que sufraga la Dirección General de Defensorías de Oficio.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Atento: a lo precedentemente expuesto y a lo que disponen los artículos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168 inciso 4 de la Constitución; ley 14.985 de 28 de diciembre de 1979, 1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y concordantes del acto institucional 8,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                    </w:t>
      </w:r>
    </w:p>
    <w:p w:rsid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lastRenderedPageBreak/>
        <w:t>El Presidente de la República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                               DECRETA:</w:t>
      </w:r>
    </w:p>
    <w:bookmarkStart w:id="0" w:name="#1"/>
    <w:bookmarkEnd w:id="0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prestarán asi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stencia jurídica en todo tipo de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asuntos, hasta su conclusión, ya sea de jurisdicción contenciosa 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voluntaria, siempre que les sea requerida, que se trate de cuestiones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propias de la especialidad de su cargo y que no superen los límites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establecen las disposiciones administrativas sobre la materia (Decreto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674/979 de fecha 20 de noviembre de 1979. En el fuero penal su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intervención corresponde toda vez que el procesado, intimado por el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Juzgado, no hiciere uso de su derecho nombrar Defensor de su particular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confianza.</w:t>
      </w:r>
    </w:p>
    <w:bookmarkStart w:id="1" w:name="#2"/>
    <w:bookmarkEnd w:id="1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"http://www.impo.com.uy/bases/decretos/271-1980/2"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2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entablarán todos los recursos legales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fueren necesarios, útiles o convenientes para el mejor desempeño de sus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funciones.</w:t>
      </w:r>
    </w:p>
    <w:bookmarkStart w:id="2" w:name="#3"/>
    <w:bookmarkEnd w:id="2"/>
    <w:p w:rsidR="00C631F7" w:rsidRPr="00C631F7" w:rsidRDefault="00C631F7" w:rsidP="00C631F7">
      <w:pPr>
        <w:shd w:val="clear" w:color="auto" w:fill="FFFFFF"/>
        <w:spacing w:before="150" w:after="150" w:line="48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"http://www.impo.com.uy/bases/decretos/271-1980/3"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3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con sede en la capital deberán permanecer en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sus despachos, como mínimo, durante dos horas diarias, y durante tres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horas los que prestaren servicios en el resto del país.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Fijarán su horario de atención al público dentro del establecido para el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funcionamiento de las oficinas judiciales, el que anunciarán en sus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despachos por medio de carteleras, comunicándolo, en cada caso, por la vía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jerárquica y por escrito a la Dirección General del Servicio.</w:t>
      </w:r>
    </w:p>
    <w:bookmarkStart w:id="3" w:name="#4"/>
    <w:bookmarkEnd w:id="3"/>
    <w:p w:rsidR="00C631F7" w:rsidRPr="00C631F7" w:rsidRDefault="00C631F7" w:rsidP="00C631F7">
      <w:pPr>
        <w:shd w:val="clear" w:color="auto" w:fill="FFFFFF"/>
        <w:spacing w:before="150" w:after="150" w:line="48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"http://www.impo.com.uy/bases/decretos/271-1980/4"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4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abogados de oficio podrán requerir de sus asistidos una relación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escrita del hecho, conforme con lo dispuesto en el artículo 231 del Código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 Organización de los Tribunales.</w:t>
      </w:r>
    </w:p>
    <w:bookmarkStart w:id="4" w:name="#5"/>
    <w:bookmarkEnd w:id="4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lastRenderedPageBreak/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"http://www.impo.com.uy/bases/decretos/271-1980/5"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5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Cada dos meses, dentro de los cinco días hábiles siguientes, los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Defensores de Oficio con sede en el interior de la República, elevarán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 la Dirección General del Servicio, un legajo con las copias, inicialadas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y con sus respectivas fechas de presentación, de todos los escritos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hubieren presentado en cumplimiento de su función, e informarán, en la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misma oportunidad, sobre el número de personas atendidas y consultas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evacuadas.</w:t>
      </w:r>
    </w:p>
    <w:bookmarkStart w:id="5" w:name="#6"/>
    <w:bookmarkEnd w:id="5"/>
    <w:p w:rsidR="00C631F7" w:rsidRPr="00C631F7" w:rsidRDefault="00C631F7" w:rsidP="00C631F7">
      <w:pPr>
        <w:shd w:val="clear" w:color="auto" w:fill="FFFFFF"/>
        <w:spacing w:before="150" w:after="150" w:line="48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"http://www.impo.com.uy/bases/decretos/271-1980/6"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6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De los casos de excusación, impedimento o recusación de los defensores,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en materia criminal, resolverá el juez que conozca en el expediente en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tenga lugar. Los casos de excusación, impedimento o recusación, en las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demás materias, cuando no mediare la conformidad del abogado llamado 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prestar la subrogación, serán resueltos por la Dirección General del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Servicio. La excusación será solicitada con expresión, -que puede ser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confidencial-, de los motivos en que se funde.</w:t>
      </w:r>
    </w:p>
    <w:bookmarkStart w:id="6" w:name="#7"/>
    <w:bookmarkEnd w:id="6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"http://www.impo.com.uy/bases/decretos/271-1980/7"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7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En los casos de vacancia, licencia, excusación, impedimento 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recusación, los Defensores de Oficio se subrogarán de la siguiente manera: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1) En la capital, en materia penal, actuará el Defensor que le preceda en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el turno, y en las demás materias, el Defensor a quien se haya adjudicado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el cupo de letras que le anteceda en la planilla anual de turnos.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2) Y, en el interior de la República se subrogarán entre </w:t>
      </w:r>
      <w:proofErr w:type="spellStart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si</w:t>
      </w:r>
      <w:proofErr w:type="spellEnd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en su sede de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actuación -sin distinción de materia- siguiendo el orden del abecedario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con la primera letra de sus respectivos apellidos, y en los casos en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no haya otro Defensor de Oficio disponible en la ciudad donde tiene su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sede el abogado a suplantar, intervendrá el que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lastRenderedPageBreak/>
        <w:t>corresponda según el orden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 la lista de Defensores de Oficio subrogantes que la Corte de Justicia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designará anualmente, a propuesta de los Jueces Letrados de Primera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Instancia del Interior de la República. (*)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pict>
          <v:rect id="_x0000_i1025" style="width:0;height:0" o:hralign="center" o:hrstd="t" o:hr="t" fillcolor="#a0a0a0" stroked="f"/>
        </w:pic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(*)</w:t>
      </w: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Notas: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Ver en esta norma, artículo: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hyperlink r:id="rId5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9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p w:rsidR="00C631F7" w:rsidRPr="00C631F7" w:rsidRDefault="00C631F7" w:rsidP="00C631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hyperlink r:id="rId6" w:history="1">
        <w:r w:rsidRPr="00C631F7">
          <w:rPr>
            <w:rFonts w:ascii="Helvetica" w:eastAsia="Times New Roman" w:hAnsi="Helvetica" w:cs="Helvetica"/>
            <w:color w:val="DDDDDD"/>
            <w:sz w:val="18"/>
            <w:szCs w:val="18"/>
            <w:bdr w:val="single" w:sz="6" w:space="1" w:color="auto" w:frame="1"/>
            <w:lang w:eastAsia="es-UY"/>
          </w:rPr>
          <w:t>Referencias al artículo</w:t>
        </w:r>
      </w:hyperlink>
    </w:p>
    <w:bookmarkStart w:id="7" w:name="#8"/>
    <w:bookmarkEnd w:id="7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"http://www.impo.com.uy/bases/decretos/271-1980/8"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8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En todos los casos en los que en una misma ciudad tengan su sede más de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un Defensor de Oficio con competencia en una misma materia, la Corte de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Justicia, previo dictamen de la Dirección General de Defensorías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distribuirá el trabajo entre aquéllos, estableciendo un régimen de turnos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quincenal, para los de la materia penal, y de grupos de letras para las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demás materias. Anualmente, al formularse la planilla de turnos se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determinarán los días que corresponden a cada Defensor penal así como 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cuales Defensores corresponde cada cupo de letras.</w:t>
      </w:r>
    </w:p>
    <w:bookmarkStart w:id="8" w:name="#9"/>
    <w:bookmarkEnd w:id="8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"http://www.impo.com.uy/bases/decretos/271-1980/9"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9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En los asuntos de carácter penal, la fecha del auto de procesamiento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determinará el turno del Defensor de Oficio. Si fueren varios los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encausados por la comisión de un mismo delito y existiera implicancia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entre ellos, cada uno de los demás procesados, respectivamente y por su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orden, será patrocinado en la capital por el Defensor o Defensores que le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preceda en el turno a aquél que se encontrare en funciones a la fecha del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procesamiento. Y en el interior se estará a lo dispuesto por el numeral 2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del artículo 7.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En las causas remitidas por los Juzgados Letrados Departamentales, la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fecha del auto por el cual se elevan las causas, determinará el turno del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lastRenderedPageBreak/>
        <w:t>Defensor que haya de intervenir, aún en el supuesto de que no comprenda 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todos los procesados o que haya prevenido otro Defensor. En el caso de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un Defensor particular renuncie a la defensa de un encausado o cese en la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prestación de su servicio profesional por cualquier causa le corresponderá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intervenir al Defensor de Oficio que hubiere estado de turno en la fecha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del auto de procesamiento, o que le hubiere correspondido intervenir según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las normas precedentes. Cuando se acumularen dos o varios procesos en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trámite le corresponderá intervenir en todos ellos al Defensor que se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encontrare de turno en la fecha del auto de procesamiento de la causa más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antigua.</w:t>
      </w:r>
    </w:p>
    <w:bookmarkStart w:id="9" w:name="#10"/>
    <w:bookmarkEnd w:id="9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"http://www.impo.com.uy/bases/decretos/271-1980/10"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10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En los casos de acumulación de acciones y en general toda vez que un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solo Defensor de Oficio en materia civil, del trabajo, o de menores, deba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patrocinar a más de una persona en un mismo expediente, se formulará un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orden alfabético en base a la inicial del primer apellido de las personas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 asistir y entenderá el Defensor cuyas letras coincidan con el mayor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número de esas iniciales; y de ser equivalente intervendrá el defensor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cuyo fichero registre menor número de asuntos en trámite.</w:t>
      </w:r>
    </w:p>
    <w:bookmarkStart w:id="10" w:name="#11"/>
    <w:bookmarkEnd w:id="10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"http://www.impo.com.uy/bases/decretos/271-1980/11"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11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en lo penal llevarán un fichero por índice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alfabético, en el que anotarán el Juzgado o Tribunal que intervenga en la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causa, los nombres y apellidos, el domicilio, la nacionalidad, estado,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profesión y edad de sus defendidos, si registraren antecedentes, si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mediare confesión, un resumen de los hechos incriminados y sus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circunstancias agravantes y atenuantes, y todos aquellos trámites 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gestiones que se hubieren producido o se produjesen en el respectivo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proceso, en cuanto fuere necesario para el más estricto y diligente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cumplimiento de sus funciones.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</w:p>
    <w:bookmarkStart w:id="11" w:name="#12"/>
    <w:bookmarkEnd w:id="11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lastRenderedPageBreak/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"http://www.impo.com.uy/bases/decretos/271-1980/12"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12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en lo penal formarán anualmente un legajo con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las cartas recibidas de sus patrocinados que tengan un interés atendible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con referencia al proceso, y con la contestación que hubieren enviado,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expresándose las fechas de su recepción y envío.</w:t>
      </w:r>
    </w:p>
    <w:bookmarkStart w:id="12" w:name="#13"/>
    <w:bookmarkEnd w:id="12"/>
    <w:p w:rsidR="00C631F7" w:rsidRPr="00C631F7" w:rsidRDefault="00C631F7" w:rsidP="00C631F7">
      <w:pPr>
        <w:shd w:val="clear" w:color="auto" w:fill="FFFFFF"/>
        <w:spacing w:before="150" w:after="150" w:line="48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"http://www.impo.com.uy/bases/decretos/271-1980/13"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13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en lo penal, darán estricto cumplimiento a lo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dispuesto en los artículos 2, 3 y 4 del decreto 297/979 de 29 de mayo de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1979; y a las demás obligaciones reguladas por sus normas, en lo que les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pudiere resultar aplicable. (Artículo 17 decreto 297/979).</w:t>
      </w:r>
    </w:p>
    <w:bookmarkStart w:id="13" w:name="#14"/>
    <w:bookmarkEnd w:id="13"/>
    <w:p w:rsidR="00C631F7" w:rsidRPr="00C631F7" w:rsidRDefault="00C631F7" w:rsidP="00C631F7">
      <w:pPr>
        <w:shd w:val="clear" w:color="auto" w:fill="FFFFFF"/>
        <w:spacing w:before="150" w:after="150" w:line="48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"http://www.impo.com.uy/bases/decretos/271-1980/14"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14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Los Defensores de Oficio en lo penal deberán concurrir a los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establecimientos carcelarios donde se encuentren recluidos sus defendidos,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en los casos siguientes: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1) Trimestralmente los de la capital, y cada dos meses los del interior,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dejando constancia de su visita en el libro respectivo del establecimiento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carcelario;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2) A los efectos de entrevistar a los procesados por delitos sobre los que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no haya de recaer pena de penitenciaría y que fueren primarios, en el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término de quince días contados desde el vencimiento del turno, para los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 la capital, y desde la aceptación del cargo para los del interior;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3) Cuando por causa debidamente justificada, su presencia sea solicitada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por alguno de sus patrocinados; y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4) En general, cuando el Defensor lo considere necesario o conveniente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para el mejor desempeño de su función. En todos los casos dejarán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constancia de su visita en la ficha de trámite, con expresa mención del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día en que tiene lugar.</w:t>
      </w:r>
    </w:p>
    <w:bookmarkStart w:id="14" w:name="#15"/>
    <w:bookmarkEnd w:id="14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lastRenderedPageBreak/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"http://www.impo.com.uy/bases/decretos/271-1980/15"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15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Las Defensorías de Oficio en lo criminal redactarán las denuncias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penales, cada vez que corresponda, aún en los casos en que el o los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damnificados sean exclusivamente menores. En tales casos tendrán en cuenta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lo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 límites establecidos por el decreto 674/979.</w:t>
      </w:r>
    </w:p>
    <w:bookmarkStart w:id="15" w:name="#16"/>
    <w:bookmarkEnd w:id="15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"http://www.impo.com.uy/bases/decretos/271-1980/16"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16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(*)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pict>
          <v:rect id="_x0000_i1026" style="width:0;height:0" o:hralign="center" o:hrstd="t" o:hr="t" fillcolor="#a0a0a0" stroked="f"/>
        </w:pic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(*)</w:t>
      </w: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Notas: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UY"/>
        </w:rPr>
        <w:t>Derogado/s por: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241/984 de 12/06/1984 artículo </w:t>
      </w:r>
      <w:hyperlink r:id="rId7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7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br/>
      </w:r>
      <w:r w:rsidRPr="00C631F7">
        <w:rPr>
          <w:rFonts w:ascii="Courier New" w:eastAsia="Times New Roman" w:hAnsi="Courier New" w:cs="Courier New"/>
          <w:b/>
          <w:bCs/>
          <w:color w:val="008200"/>
          <w:sz w:val="20"/>
          <w:szCs w:val="20"/>
          <w:lang w:eastAsia="es-UY"/>
        </w:rPr>
        <w:t>TEXTO ORIGINAL: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271/980 de 13/05/1980 artículo </w:t>
      </w:r>
      <w:hyperlink r:id="rId8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16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bookmarkStart w:id="16" w:name="#17"/>
    <w:bookmarkEnd w:id="16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"http://www.impo.com.uy/bases/decretos/271-1980/17"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17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(*)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pict>
          <v:rect id="_x0000_i1027" style="width:0;height:0" o:hralign="center" o:hrstd="t" o:hr="t" fillcolor="#a0a0a0" stroked="f"/>
        </w:pic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(*)</w:t>
      </w: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Notas: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UY"/>
        </w:rPr>
        <w:t>Derogado/s por: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241/984 de 12/06/1984 artículo </w:t>
      </w:r>
      <w:hyperlink r:id="rId9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7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br/>
      </w:r>
      <w:r w:rsidRPr="00C631F7">
        <w:rPr>
          <w:rFonts w:ascii="Courier New" w:eastAsia="Times New Roman" w:hAnsi="Courier New" w:cs="Courier New"/>
          <w:b/>
          <w:bCs/>
          <w:color w:val="008200"/>
          <w:sz w:val="20"/>
          <w:szCs w:val="20"/>
          <w:lang w:eastAsia="es-UY"/>
        </w:rPr>
        <w:t>TEXTO ORIGINAL: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271/980 de 13/05/1980 artículo </w:t>
      </w:r>
      <w:hyperlink r:id="rId10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17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bookmarkStart w:id="17" w:name="#18"/>
    <w:bookmarkEnd w:id="17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"http://www.impo.com.uy/bases/decretos/271-1980/18"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18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(*)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pict>
          <v:rect id="_x0000_i1028" style="width:0;height:0" o:hralign="center" o:hrstd="t" o:hr="t" fillcolor="#a0a0a0" stroked="f"/>
        </w:pic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(*)</w:t>
      </w: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Notas: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UY"/>
        </w:rPr>
        <w:t>Derogado/s por: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241/984 de 12/06/1984 artículo </w:t>
      </w:r>
      <w:hyperlink r:id="rId11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7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br/>
      </w:r>
      <w:r w:rsidRPr="00C631F7">
        <w:rPr>
          <w:rFonts w:ascii="Courier New" w:eastAsia="Times New Roman" w:hAnsi="Courier New" w:cs="Courier New"/>
          <w:b/>
          <w:bCs/>
          <w:color w:val="008200"/>
          <w:sz w:val="20"/>
          <w:szCs w:val="20"/>
          <w:lang w:eastAsia="es-UY"/>
        </w:rPr>
        <w:t>TEXTO ORIGINAL: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271/980 de 13/05/1980 artículo </w:t>
      </w:r>
      <w:hyperlink r:id="rId12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18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bookmarkStart w:id="18" w:name="#19"/>
    <w:bookmarkEnd w:id="18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"http://www.impo.com.uy/bases/decretos/271-1980/19"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19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(*)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pict>
          <v:rect id="_x0000_i1029" style="width:0;height:0" o:hralign="center" o:hrstd="t" o:hr="t" fillcolor="#a0a0a0" stroked="f"/>
        </w:pic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(*)</w:t>
      </w: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Notas: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UY"/>
        </w:rPr>
        <w:t>Derogado/s por: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241/984 de 12/06/1984 artículo </w:t>
      </w:r>
      <w:hyperlink r:id="rId13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7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br/>
      </w:r>
      <w:r w:rsidRPr="00C631F7">
        <w:rPr>
          <w:rFonts w:ascii="Courier New" w:eastAsia="Times New Roman" w:hAnsi="Courier New" w:cs="Courier New"/>
          <w:b/>
          <w:bCs/>
          <w:color w:val="008200"/>
          <w:sz w:val="20"/>
          <w:szCs w:val="20"/>
          <w:lang w:eastAsia="es-UY"/>
        </w:rPr>
        <w:t>TEXTO ORIGINAL: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271/980 de 13/05/1980 artículo </w:t>
      </w:r>
      <w:hyperlink r:id="rId14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19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bookmarkStart w:id="19" w:name="#20"/>
    <w:bookmarkEnd w:id="19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"http://www.impo.com.uy/bases/decretos/271-1980/20"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20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(*)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pict>
          <v:rect id="_x0000_i1030" style="width:0;height:0" o:hralign="center" o:hrstd="t" o:hr="t" fillcolor="#a0a0a0" stroked="f"/>
        </w:pic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lastRenderedPageBreak/>
        <w:t>(*)</w:t>
      </w:r>
      <w:r w:rsidRPr="00C631F7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es-UY"/>
        </w:rPr>
        <w:t>Notas: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UY"/>
        </w:rPr>
        <w:t>Derogado/s por: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241/984 de 12/06/1984 artículo </w:t>
      </w:r>
      <w:hyperlink r:id="rId15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7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br/>
      </w:r>
      <w:r w:rsidRPr="00C631F7">
        <w:rPr>
          <w:rFonts w:ascii="Courier New" w:eastAsia="Times New Roman" w:hAnsi="Courier New" w:cs="Courier New"/>
          <w:b/>
          <w:bCs/>
          <w:color w:val="008200"/>
          <w:sz w:val="20"/>
          <w:szCs w:val="20"/>
          <w:lang w:eastAsia="es-UY"/>
        </w:rPr>
        <w:t>TEXTO ORIGINAL: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Decreto Nº 271/980 de 13/05/1980 artículo </w:t>
      </w:r>
      <w:hyperlink r:id="rId16" w:history="1">
        <w:r w:rsidRPr="00C631F7">
          <w:rPr>
            <w:rFonts w:ascii="Courier New" w:eastAsia="Times New Roman" w:hAnsi="Courier New" w:cs="Courier New"/>
            <w:color w:val="ACAAAD"/>
            <w:sz w:val="20"/>
            <w:szCs w:val="20"/>
            <w:lang w:eastAsia="es-UY"/>
          </w:rPr>
          <w:t>20</w:t>
        </w:r>
      </w:hyperlink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.</w:t>
      </w:r>
    </w:p>
    <w:bookmarkStart w:id="20" w:name="#21"/>
    <w:bookmarkEnd w:id="20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"http://www.impo.com.uy/bases/decretos/271-1980/21"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21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712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En los juicios de naturaleza laboral intervendrán los Defensores de</w:t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Oficio del trabajo, cualquiera sea la edad del reclamante.</w:t>
      </w:r>
    </w:p>
    <w:bookmarkStart w:id="21" w:name="#22"/>
    <w:bookmarkEnd w:id="21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"http://www.impo.com.uy/bases/decretos/271-1980/22"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22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712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Siempre que la persona que concurre a una Defensoría en busca de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asesoramiento o patrocinio sea remitida a otra, se le proporcionará un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estudio escrito y pormenorizado de su caso, firmado por el Defensor, en el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que se expondrán los hechos, los fundamentos de derecho y la conclusión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determinantes de la competencia de la oficina a la que se remite.</w:t>
      </w:r>
    </w:p>
    <w:p w:rsidR="00C631F7" w:rsidRPr="00C631F7" w:rsidRDefault="00C631F7" w:rsidP="00712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proofErr w:type="spellStart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Exceptúanse</w:t>
      </w:r>
      <w:proofErr w:type="spellEnd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exclusivamente aquellos casos que no planteen dudas acerca de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la competencia de la Defensoría a la que se remite y con respecto a la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cual ésta no formule objeciones. Si el que recibe el caso no estuviere de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acuerdo acerca de que corresponda su intervención, fundará a su vez el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desacuerdo y ambos dictámenes</w:t>
      </w:r>
      <w:bookmarkStart w:id="22" w:name="_GoBack"/>
      <w:bookmarkEnd w:id="22"/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serán remitidos a la Dirección General del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Servicio, para su resolución.</w:t>
      </w:r>
    </w:p>
    <w:bookmarkStart w:id="23" w:name="#23"/>
    <w:bookmarkEnd w:id="23"/>
    <w:p w:rsidR="00C631F7" w:rsidRPr="00C631F7" w:rsidRDefault="00C631F7" w:rsidP="00C631F7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"http://www.impo.com.uy/bases/decretos/271-1980/23"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23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712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Las Defensorías de Oficio se continuarán rigiendo por las Acordadas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2.500 de 8 de octubre de 1945, 3.097 de 11 de febrero de 1952 y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posteriores en cuanto no se opongan al presente decreto y no hayan sido</w:t>
      </w:r>
      <w:r w:rsidR="00712A93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expresamente derogadas por disposiciones reglamentarias vigentes.</w:t>
      </w:r>
    </w:p>
    <w:bookmarkStart w:id="24" w:name="#24"/>
    <w:bookmarkEnd w:id="24"/>
    <w:p w:rsidR="00C631F7" w:rsidRPr="00C631F7" w:rsidRDefault="00C631F7" w:rsidP="00C631F7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begin"/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instrText xml:space="preserve"> HYPERLINK "http://www.impo.com.uy/bases/decretos/271-1980/24" </w:instrTex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separate"/>
      </w:r>
      <w:r w:rsidRPr="00C631F7">
        <w:rPr>
          <w:rFonts w:ascii="Helvetica" w:eastAsia="Times New Roman" w:hAnsi="Helvetica" w:cs="Helvetica"/>
          <w:color w:val="ACAAAD"/>
          <w:sz w:val="27"/>
          <w:szCs w:val="27"/>
          <w:lang w:eastAsia="es-UY"/>
        </w:rPr>
        <w:t>Artículo 24</w:t>
      </w:r>
      <w:r w:rsidRPr="00C631F7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fldChar w:fldCharType="end"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  Comuníquese, etc.</w:t>
      </w:r>
    </w:p>
    <w:p w:rsidR="00C631F7" w:rsidRPr="00C631F7" w:rsidRDefault="00C631F7" w:rsidP="00C6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631F7"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  <w:br/>
      </w:r>
    </w:p>
    <w:p w:rsidR="00C631F7" w:rsidRPr="00C631F7" w:rsidRDefault="00C631F7" w:rsidP="00C63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C631F7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MENDEZ - FERNANDO BAYARDO BENGOA</w:t>
      </w:r>
    </w:p>
    <w:p w:rsidR="00CA423D" w:rsidRDefault="00712A93"/>
    <w:sectPr w:rsidR="00CA4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52383"/>
    <w:multiLevelType w:val="multilevel"/>
    <w:tmpl w:val="0FE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F"/>
    <w:rsid w:val="00445DCF"/>
    <w:rsid w:val="00711637"/>
    <w:rsid w:val="00712A93"/>
    <w:rsid w:val="009806F8"/>
    <w:rsid w:val="00C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0691-EDAE-4227-AD7B-D32DB6E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tulo2">
    <w:name w:val="heading 2"/>
    <w:basedOn w:val="Normal"/>
    <w:link w:val="Ttulo2Car"/>
    <w:uiPriority w:val="9"/>
    <w:qFormat/>
    <w:rsid w:val="00C63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Ttulo4">
    <w:name w:val="heading 4"/>
    <w:basedOn w:val="Normal"/>
    <w:link w:val="Ttulo4Car"/>
    <w:uiPriority w:val="9"/>
    <w:qFormat/>
    <w:rsid w:val="00C63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styleId="Ttulo5">
    <w:name w:val="heading 5"/>
    <w:basedOn w:val="Normal"/>
    <w:link w:val="Ttulo5Car"/>
    <w:uiPriority w:val="9"/>
    <w:qFormat/>
    <w:rsid w:val="00C631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31F7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C631F7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C631F7"/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character" w:customStyle="1" w:styleId="Ttulo5Car">
    <w:name w:val="Título 5 Car"/>
    <w:basedOn w:val="Fuentedeprrafopredeter"/>
    <w:link w:val="Ttulo5"/>
    <w:uiPriority w:val="9"/>
    <w:rsid w:val="00C631F7"/>
    <w:rPr>
      <w:rFonts w:ascii="Times New Roman" w:eastAsia="Times New Roman" w:hAnsi="Times New Roman" w:cs="Times New Roman"/>
      <w:b/>
      <w:bCs/>
      <w:sz w:val="20"/>
      <w:szCs w:val="20"/>
      <w:lang w:eastAsia="es-UY"/>
    </w:rPr>
  </w:style>
  <w:style w:type="character" w:customStyle="1" w:styleId="apple-converted-space">
    <w:name w:val="apple-converted-space"/>
    <w:basedOn w:val="Fuentedeprrafopredeter"/>
    <w:rsid w:val="00C631F7"/>
  </w:style>
  <w:style w:type="character" w:styleId="Textoennegrita">
    <w:name w:val="Strong"/>
    <w:basedOn w:val="Fuentedeprrafopredeter"/>
    <w:uiPriority w:val="22"/>
    <w:qFormat/>
    <w:rsid w:val="00C631F7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3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31F7"/>
    <w:rPr>
      <w:rFonts w:ascii="Courier New" w:eastAsia="Times New Roman" w:hAnsi="Courier New" w:cs="Courier New"/>
      <w:sz w:val="20"/>
      <w:szCs w:val="20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C63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337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076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268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o.com.uy/bases/decretos-originales/271-1980/16" TargetMode="External"/><Relationship Id="rId13" Type="http://schemas.openxmlformats.org/officeDocument/2006/relationships/hyperlink" Target="http://www.impo.com.uy/bases/decretos/241-1984/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po.com.uy/bases/decretos/241-1984/7" TargetMode="External"/><Relationship Id="rId12" Type="http://schemas.openxmlformats.org/officeDocument/2006/relationships/hyperlink" Target="http://www.impo.com.uy/bases/decretos-originales/271-1980/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po.com.uy/bases/decretos-originales/271-1980/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po.com.uy/bases/decretos/271-1980/7?verreferencias=articulo" TargetMode="External"/><Relationship Id="rId11" Type="http://schemas.openxmlformats.org/officeDocument/2006/relationships/hyperlink" Target="http://www.impo.com.uy/bases/decretos/241-1984/7" TargetMode="External"/><Relationship Id="rId5" Type="http://schemas.openxmlformats.org/officeDocument/2006/relationships/hyperlink" Target="http://www.impo.com.uy/bases/decretos/271-1980/9" TargetMode="External"/><Relationship Id="rId15" Type="http://schemas.openxmlformats.org/officeDocument/2006/relationships/hyperlink" Target="http://www.impo.com.uy/bases/decretos/241-1984/7" TargetMode="External"/><Relationship Id="rId10" Type="http://schemas.openxmlformats.org/officeDocument/2006/relationships/hyperlink" Target="http://www.impo.com.uy/bases/decretos-originales/271-1980/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o.com.uy/bases/decretos/241-1984/7" TargetMode="External"/><Relationship Id="rId14" Type="http://schemas.openxmlformats.org/officeDocument/2006/relationships/hyperlink" Target="http://www.impo.com.uy/bases/decretos-originales/271-1980/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2017-01-19T23:49:00Z</dcterms:created>
  <dcterms:modified xsi:type="dcterms:W3CDTF">2017-01-20T00:02:00Z</dcterms:modified>
</cp:coreProperties>
</file>