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D72" w:rsidRDefault="004B5D72" w:rsidP="004B5D72">
      <w:pPr>
        <w:pStyle w:val="Ttulo2"/>
        <w:jc w:val="center"/>
        <w:rPr>
          <w:rFonts w:ascii="Arial" w:hAnsi="Arial" w:cs="Arial"/>
          <w:color w:val="000000"/>
          <w:sz w:val="24"/>
          <w:szCs w:val="24"/>
        </w:rPr>
      </w:pPr>
      <w:bookmarkStart w:id="0" w:name="art393"/>
      <w:r>
        <w:rPr>
          <w:rFonts w:ascii="Arial" w:hAnsi="Arial" w:cs="Arial"/>
          <w:color w:val="000000"/>
          <w:sz w:val="24"/>
          <w:szCs w:val="24"/>
        </w:rPr>
        <w:t>Ley Nº 17.930</w:t>
      </w:r>
    </w:p>
    <w:p w:rsidR="004B5D72" w:rsidRDefault="004B5D72" w:rsidP="004B5D72">
      <w:pPr>
        <w:pStyle w:val="Ttulo2"/>
        <w:jc w:val="center"/>
        <w:rPr>
          <w:rFonts w:ascii="Arial" w:hAnsi="Arial" w:cs="Arial"/>
          <w:color w:val="000000"/>
          <w:sz w:val="24"/>
          <w:szCs w:val="24"/>
        </w:rPr>
      </w:pPr>
      <w:r>
        <w:rPr>
          <w:rFonts w:ascii="Arial" w:hAnsi="Arial" w:cs="Arial"/>
          <w:color w:val="000000"/>
          <w:sz w:val="24"/>
          <w:szCs w:val="24"/>
        </w:rPr>
        <w:t>PRESUPUESTO NACIONAL</w:t>
      </w:r>
    </w:p>
    <w:p w:rsidR="004B5D72" w:rsidRDefault="004B5D72" w:rsidP="004B5D72">
      <w:pPr>
        <w:pStyle w:val="Ttulo3"/>
        <w:jc w:val="center"/>
        <w:rPr>
          <w:rFonts w:ascii="Arial" w:hAnsi="Arial" w:cs="Arial"/>
          <w:color w:val="000000"/>
          <w:sz w:val="18"/>
          <w:szCs w:val="18"/>
        </w:rPr>
      </w:pPr>
      <w:r>
        <w:rPr>
          <w:rFonts w:ascii="Arial" w:hAnsi="Arial" w:cs="Arial"/>
          <w:color w:val="000000"/>
          <w:sz w:val="18"/>
          <w:szCs w:val="18"/>
        </w:rPr>
        <w:t>APRUÉBASE PARA EL PERÌODO 2005 - 2009</w:t>
      </w:r>
    </w:p>
    <w:p w:rsidR="004B5D72" w:rsidRDefault="004B5D72" w:rsidP="004B5D72">
      <w:pPr>
        <w:pStyle w:val="Ttulo4"/>
        <w:jc w:val="center"/>
        <w:rPr>
          <w:rFonts w:ascii="Arial" w:hAnsi="Arial" w:cs="Arial"/>
          <w:b w:val="0"/>
          <w:bCs w:val="0"/>
          <w:color w:val="000000"/>
          <w:sz w:val="18"/>
          <w:szCs w:val="18"/>
        </w:rPr>
      </w:pPr>
      <w:r>
        <w:rPr>
          <w:rFonts w:ascii="Arial" w:hAnsi="Arial" w:cs="Arial"/>
          <w:b w:val="0"/>
          <w:bCs w:val="0"/>
          <w:color w:val="000000"/>
          <w:sz w:val="18"/>
          <w:szCs w:val="18"/>
        </w:rPr>
        <w:t>El Senado y la Cámara de Representantes de la República Oriental del Uruguay, reunidos en Asamblea General,</w:t>
      </w:r>
    </w:p>
    <w:p w:rsidR="004B5D72" w:rsidRDefault="004B5D72" w:rsidP="004B5D72">
      <w:pPr>
        <w:pStyle w:val="Ttulo3"/>
        <w:jc w:val="center"/>
        <w:rPr>
          <w:rFonts w:ascii="Arial" w:hAnsi="Arial" w:cs="Arial"/>
          <w:color w:val="000000"/>
          <w:sz w:val="18"/>
          <w:szCs w:val="18"/>
        </w:rPr>
      </w:pPr>
      <w:r>
        <w:rPr>
          <w:rFonts w:ascii="Arial" w:hAnsi="Arial" w:cs="Arial"/>
          <w:color w:val="000000"/>
          <w:sz w:val="18"/>
          <w:szCs w:val="18"/>
        </w:rPr>
        <w:t>DECRETAN:</w:t>
      </w:r>
    </w:p>
    <w:p w:rsidR="004B5D72" w:rsidRPr="004B5D72" w:rsidRDefault="004B5D72" w:rsidP="004B5D72">
      <w:pPr>
        <w:spacing w:before="100" w:beforeAutospacing="1" w:after="100" w:afterAutospacing="1" w:line="240" w:lineRule="auto"/>
        <w:ind w:firstLine="180"/>
        <w:jc w:val="both"/>
        <w:rPr>
          <w:rFonts w:ascii="Arial" w:eastAsia="Times New Roman" w:hAnsi="Arial" w:cs="Arial"/>
          <w:color w:val="000000"/>
          <w:sz w:val="18"/>
          <w:szCs w:val="18"/>
          <w:lang w:eastAsia="es-UY"/>
        </w:rPr>
      </w:pPr>
      <w:r w:rsidRPr="004B5D72">
        <w:rPr>
          <w:rFonts w:ascii="Arial" w:eastAsia="Times New Roman" w:hAnsi="Arial" w:cs="Arial"/>
          <w:b/>
          <w:color w:val="000000"/>
          <w:sz w:val="18"/>
          <w:szCs w:val="18"/>
          <w:u w:val="single"/>
          <w:lang w:eastAsia="es-UY"/>
        </w:rPr>
        <w:t>Artículo 393</w:t>
      </w:r>
      <w:bookmarkEnd w:id="0"/>
      <w:r w:rsidRPr="004B5D72">
        <w:rPr>
          <w:rFonts w:ascii="Arial" w:eastAsia="Times New Roman" w:hAnsi="Arial" w:cs="Arial"/>
          <w:color w:val="000000"/>
          <w:sz w:val="18"/>
          <w:szCs w:val="18"/>
          <w:lang w:eastAsia="es-UY"/>
        </w:rPr>
        <w:t>.- </w:t>
      </w:r>
      <w:proofErr w:type="spellStart"/>
      <w:r w:rsidRPr="004B5D72">
        <w:rPr>
          <w:rFonts w:ascii="Arial" w:eastAsia="Times New Roman" w:hAnsi="Arial" w:cs="Arial"/>
          <w:color w:val="000000"/>
          <w:sz w:val="18"/>
          <w:szCs w:val="18"/>
          <w:lang w:eastAsia="es-UY"/>
        </w:rPr>
        <w:t>Sustitúyese</w:t>
      </w:r>
      <w:proofErr w:type="spellEnd"/>
      <w:r w:rsidRPr="004B5D72">
        <w:rPr>
          <w:rFonts w:ascii="Arial" w:eastAsia="Times New Roman" w:hAnsi="Arial" w:cs="Arial"/>
          <w:color w:val="000000"/>
          <w:sz w:val="18"/>
          <w:szCs w:val="18"/>
          <w:lang w:eastAsia="es-UY"/>
        </w:rPr>
        <w:t xml:space="preserve"> el artículo 510 de la </w:t>
      </w:r>
      <w:hyperlink r:id="rId4" w:history="1">
        <w:r w:rsidRPr="004B5D72">
          <w:rPr>
            <w:rFonts w:ascii="Arial" w:eastAsia="Times New Roman" w:hAnsi="Arial" w:cs="Arial"/>
            <w:color w:val="006699"/>
            <w:sz w:val="18"/>
            <w:szCs w:val="18"/>
            <w:lang w:eastAsia="es-UY"/>
          </w:rPr>
          <w:t>Ley Nº 15.809</w:t>
        </w:r>
      </w:hyperlink>
      <w:r w:rsidRPr="004B5D72">
        <w:rPr>
          <w:rFonts w:ascii="Arial" w:eastAsia="Times New Roman" w:hAnsi="Arial" w:cs="Arial"/>
          <w:color w:val="000000"/>
          <w:sz w:val="18"/>
          <w:szCs w:val="18"/>
          <w:lang w:eastAsia="es-UY"/>
        </w:rPr>
        <w:t>, de 8 de abril de 1986, por el siguiente:</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55"/>
        <w:gridCol w:w="8249"/>
      </w:tblGrid>
      <w:tr w:rsidR="004B5D72" w:rsidRPr="004B5D72" w:rsidTr="004B5D72">
        <w:trPr>
          <w:tblCellSpacing w:w="0" w:type="dxa"/>
        </w:trPr>
        <w:tc>
          <w:tcPr>
            <w:tcW w:w="150" w:type="pct"/>
            <w:vAlign w:val="center"/>
            <w:hideMark/>
          </w:tcPr>
          <w:p w:rsidR="004B5D72" w:rsidRPr="004B5D72" w:rsidRDefault="004B5D72" w:rsidP="004B5D72">
            <w:pPr>
              <w:spacing w:after="0" w:line="240" w:lineRule="auto"/>
              <w:rPr>
                <w:rFonts w:ascii="Arial" w:eastAsia="Times New Roman" w:hAnsi="Arial" w:cs="Arial"/>
                <w:color w:val="000000"/>
                <w:sz w:val="18"/>
                <w:szCs w:val="18"/>
                <w:lang w:eastAsia="es-UY"/>
              </w:rPr>
            </w:pPr>
          </w:p>
        </w:tc>
        <w:tc>
          <w:tcPr>
            <w:tcW w:w="4850" w:type="pct"/>
            <w:hideMark/>
          </w:tcPr>
          <w:p w:rsidR="004B5D72" w:rsidRPr="004B5D72" w:rsidRDefault="004B5D72" w:rsidP="004B5D72">
            <w:pPr>
              <w:spacing w:after="240" w:line="240" w:lineRule="auto"/>
              <w:jc w:val="both"/>
              <w:rPr>
                <w:rFonts w:ascii="Arial" w:eastAsia="Times New Roman" w:hAnsi="Arial" w:cs="Arial"/>
                <w:color w:val="000000"/>
                <w:sz w:val="18"/>
                <w:szCs w:val="18"/>
                <w:lang w:eastAsia="es-UY"/>
              </w:rPr>
            </w:pPr>
            <w:r w:rsidRPr="004B5D72">
              <w:rPr>
                <w:rFonts w:ascii="Arial" w:eastAsia="Times New Roman" w:hAnsi="Arial" w:cs="Arial"/>
                <w:color w:val="000000"/>
                <w:sz w:val="18"/>
                <w:szCs w:val="18"/>
                <w:lang w:eastAsia="es-UY"/>
              </w:rPr>
              <w:t>"ARTÍCULO 510.- Los cargos que se enumeran a continuación serán de dedicación total obligatoria, con arreglo al artículo 158 de la </w:t>
            </w:r>
            <w:hyperlink r:id="rId5" w:history="1">
              <w:r w:rsidRPr="004B5D72">
                <w:rPr>
                  <w:rFonts w:ascii="Arial" w:eastAsia="Times New Roman" w:hAnsi="Arial" w:cs="Arial"/>
                  <w:color w:val="006699"/>
                  <w:sz w:val="18"/>
                  <w:szCs w:val="18"/>
                  <w:lang w:eastAsia="es-UY"/>
                </w:rPr>
                <w:t>Ley Nº 12.803</w:t>
              </w:r>
            </w:hyperlink>
            <w:r w:rsidRPr="004B5D72">
              <w:rPr>
                <w:rFonts w:ascii="Arial" w:eastAsia="Times New Roman" w:hAnsi="Arial" w:cs="Arial"/>
                <w:color w:val="000000"/>
                <w:sz w:val="18"/>
                <w:szCs w:val="18"/>
                <w:lang w:eastAsia="es-UY"/>
              </w:rPr>
              <w:t>, de 30 de noviembre de 1960, excepto para el caso de los cargos que se mencionan en los numerales 1) y 5) que tendrán la posibilidad de realizar la opción al momento de su designación:</w:t>
            </w:r>
          </w:p>
        </w:tc>
      </w:tr>
    </w:tbl>
    <w:p w:rsidR="004B5D72" w:rsidRPr="004B5D72" w:rsidRDefault="004B5D72" w:rsidP="004B5D72">
      <w:pPr>
        <w:spacing w:after="0" w:line="240" w:lineRule="auto"/>
        <w:rPr>
          <w:rFonts w:ascii="Times New Roman" w:eastAsia="Times New Roman" w:hAnsi="Times New Roman" w:cs="Times New Roman"/>
          <w:vanish/>
          <w:sz w:val="24"/>
          <w:szCs w:val="24"/>
          <w:lang w:eastAsia="es-UY"/>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25"/>
        <w:gridCol w:w="425"/>
        <w:gridCol w:w="7654"/>
      </w:tblGrid>
      <w:tr w:rsidR="004B5D72" w:rsidRPr="004B5D72" w:rsidTr="004B5D72">
        <w:trPr>
          <w:tblCellSpacing w:w="0" w:type="dxa"/>
        </w:trPr>
        <w:tc>
          <w:tcPr>
            <w:tcW w:w="250" w:type="pct"/>
            <w:vAlign w:val="center"/>
            <w:hideMark/>
          </w:tcPr>
          <w:p w:rsidR="004B5D72" w:rsidRPr="004B5D72" w:rsidRDefault="004B5D72" w:rsidP="004B5D72">
            <w:pPr>
              <w:spacing w:after="0" w:line="240" w:lineRule="auto"/>
              <w:rPr>
                <w:rFonts w:ascii="Times New Roman" w:eastAsia="Times New Roman" w:hAnsi="Times New Roman" w:cs="Times New Roman"/>
                <w:sz w:val="24"/>
                <w:szCs w:val="24"/>
                <w:lang w:eastAsia="es-UY"/>
              </w:rPr>
            </w:pPr>
          </w:p>
        </w:tc>
        <w:tc>
          <w:tcPr>
            <w:tcW w:w="250" w:type="pct"/>
            <w:hideMark/>
          </w:tcPr>
          <w:p w:rsidR="004B5D72" w:rsidRPr="004B5D72" w:rsidRDefault="004B5D72" w:rsidP="004B5D72">
            <w:pPr>
              <w:spacing w:after="0" w:line="240" w:lineRule="auto"/>
              <w:jc w:val="right"/>
              <w:rPr>
                <w:rFonts w:ascii="Arial" w:eastAsia="Times New Roman" w:hAnsi="Arial" w:cs="Arial"/>
                <w:color w:val="000000"/>
                <w:sz w:val="18"/>
                <w:szCs w:val="18"/>
                <w:lang w:eastAsia="es-UY"/>
              </w:rPr>
            </w:pPr>
            <w:r w:rsidRPr="004B5D72">
              <w:rPr>
                <w:rFonts w:ascii="Arial" w:eastAsia="Times New Roman" w:hAnsi="Arial" w:cs="Arial"/>
                <w:color w:val="000000"/>
                <w:sz w:val="18"/>
                <w:szCs w:val="18"/>
                <w:lang w:eastAsia="es-UY"/>
              </w:rPr>
              <w:t>1)</w:t>
            </w:r>
          </w:p>
        </w:tc>
        <w:tc>
          <w:tcPr>
            <w:tcW w:w="4500" w:type="pct"/>
            <w:hideMark/>
          </w:tcPr>
          <w:p w:rsidR="004B5D72" w:rsidRPr="004B5D72" w:rsidRDefault="004B5D72" w:rsidP="004B5D72">
            <w:pPr>
              <w:spacing w:after="240" w:line="240" w:lineRule="auto"/>
              <w:jc w:val="both"/>
              <w:rPr>
                <w:rFonts w:ascii="Arial" w:eastAsia="Times New Roman" w:hAnsi="Arial" w:cs="Arial"/>
                <w:color w:val="000000"/>
                <w:sz w:val="18"/>
                <w:szCs w:val="18"/>
                <w:lang w:eastAsia="es-UY"/>
              </w:rPr>
            </w:pPr>
            <w:r w:rsidRPr="004B5D72">
              <w:rPr>
                <w:rFonts w:ascii="Arial" w:eastAsia="Times New Roman" w:hAnsi="Arial" w:cs="Arial"/>
                <w:color w:val="000000"/>
                <w:sz w:val="18"/>
                <w:szCs w:val="18"/>
                <w:lang w:eastAsia="es-UY"/>
              </w:rPr>
              <w:t>Secretarios I (Abogados o Escribanos de los Tribunales de Apelaciones).</w:t>
            </w:r>
          </w:p>
        </w:tc>
      </w:tr>
      <w:tr w:rsidR="004B5D72" w:rsidRPr="004B5D72" w:rsidTr="004B5D72">
        <w:trPr>
          <w:tblCellSpacing w:w="0" w:type="dxa"/>
        </w:trPr>
        <w:tc>
          <w:tcPr>
            <w:tcW w:w="250" w:type="pct"/>
            <w:vAlign w:val="center"/>
            <w:hideMark/>
          </w:tcPr>
          <w:p w:rsidR="004B5D72" w:rsidRPr="004B5D72" w:rsidRDefault="004B5D72" w:rsidP="004B5D72">
            <w:pPr>
              <w:spacing w:after="240" w:line="240" w:lineRule="auto"/>
              <w:jc w:val="both"/>
              <w:rPr>
                <w:rFonts w:ascii="Arial" w:eastAsia="Times New Roman" w:hAnsi="Arial" w:cs="Arial"/>
                <w:color w:val="000000"/>
                <w:sz w:val="18"/>
                <w:szCs w:val="18"/>
                <w:lang w:eastAsia="es-UY"/>
              </w:rPr>
            </w:pPr>
          </w:p>
        </w:tc>
        <w:tc>
          <w:tcPr>
            <w:tcW w:w="250" w:type="pct"/>
            <w:hideMark/>
          </w:tcPr>
          <w:p w:rsidR="004B5D72" w:rsidRPr="004B5D72" w:rsidRDefault="004B5D72" w:rsidP="004B5D72">
            <w:pPr>
              <w:spacing w:after="0" w:line="240" w:lineRule="auto"/>
              <w:jc w:val="right"/>
              <w:rPr>
                <w:rFonts w:ascii="Arial" w:eastAsia="Times New Roman" w:hAnsi="Arial" w:cs="Arial"/>
                <w:color w:val="000000"/>
                <w:sz w:val="18"/>
                <w:szCs w:val="18"/>
                <w:lang w:eastAsia="es-UY"/>
              </w:rPr>
            </w:pPr>
            <w:r w:rsidRPr="004B5D72">
              <w:rPr>
                <w:rFonts w:ascii="Arial" w:eastAsia="Times New Roman" w:hAnsi="Arial" w:cs="Arial"/>
                <w:color w:val="000000"/>
                <w:sz w:val="18"/>
                <w:szCs w:val="18"/>
                <w:lang w:eastAsia="es-UY"/>
              </w:rPr>
              <w:t>2)</w:t>
            </w:r>
          </w:p>
        </w:tc>
        <w:tc>
          <w:tcPr>
            <w:tcW w:w="4500" w:type="pct"/>
            <w:hideMark/>
          </w:tcPr>
          <w:p w:rsidR="004B5D72" w:rsidRPr="004B5D72" w:rsidRDefault="004B5D72" w:rsidP="004B5D72">
            <w:pPr>
              <w:spacing w:after="240" w:line="240" w:lineRule="auto"/>
              <w:jc w:val="both"/>
              <w:rPr>
                <w:rFonts w:ascii="Arial" w:eastAsia="Times New Roman" w:hAnsi="Arial" w:cs="Arial"/>
                <w:color w:val="000000"/>
                <w:sz w:val="18"/>
                <w:szCs w:val="18"/>
                <w:lang w:eastAsia="es-UY"/>
              </w:rPr>
            </w:pPr>
            <w:r w:rsidRPr="004B5D72">
              <w:rPr>
                <w:rFonts w:ascii="Arial" w:eastAsia="Times New Roman" w:hAnsi="Arial" w:cs="Arial"/>
                <w:color w:val="000000"/>
                <w:sz w:val="18"/>
                <w:szCs w:val="18"/>
                <w:lang w:eastAsia="es-UY"/>
              </w:rPr>
              <w:t xml:space="preserve">Directores y Subdirectores del Instituto Técnico Forense, Director de la Oficina Central de Notificaciones y Alguacilatos, Inspectores de la División Servicios </w:t>
            </w:r>
            <w:proofErr w:type="spellStart"/>
            <w:r w:rsidRPr="004B5D72">
              <w:rPr>
                <w:rFonts w:ascii="Arial" w:eastAsia="Times New Roman" w:hAnsi="Arial" w:cs="Arial"/>
                <w:color w:val="000000"/>
                <w:sz w:val="18"/>
                <w:szCs w:val="18"/>
                <w:lang w:eastAsia="es-UY"/>
              </w:rPr>
              <w:t>Inspectivos</w:t>
            </w:r>
            <w:proofErr w:type="spellEnd"/>
            <w:r w:rsidRPr="004B5D72">
              <w:rPr>
                <w:rFonts w:ascii="Arial" w:eastAsia="Times New Roman" w:hAnsi="Arial" w:cs="Arial"/>
                <w:color w:val="000000"/>
                <w:sz w:val="18"/>
                <w:szCs w:val="18"/>
                <w:lang w:eastAsia="es-UY"/>
              </w:rPr>
              <w:t xml:space="preserve"> e Inspección General de Registros Notariales.</w:t>
            </w:r>
          </w:p>
        </w:tc>
      </w:tr>
      <w:tr w:rsidR="004B5D72" w:rsidRPr="004B5D72" w:rsidTr="004B5D72">
        <w:trPr>
          <w:tblCellSpacing w:w="0" w:type="dxa"/>
        </w:trPr>
        <w:tc>
          <w:tcPr>
            <w:tcW w:w="250" w:type="pct"/>
            <w:vAlign w:val="center"/>
            <w:hideMark/>
          </w:tcPr>
          <w:p w:rsidR="004B5D72" w:rsidRPr="004B5D72" w:rsidRDefault="004B5D72" w:rsidP="004B5D72">
            <w:pPr>
              <w:spacing w:after="240" w:line="240" w:lineRule="auto"/>
              <w:jc w:val="both"/>
              <w:rPr>
                <w:rFonts w:ascii="Arial" w:eastAsia="Times New Roman" w:hAnsi="Arial" w:cs="Arial"/>
                <w:color w:val="000000"/>
                <w:sz w:val="18"/>
                <w:szCs w:val="18"/>
                <w:lang w:eastAsia="es-UY"/>
              </w:rPr>
            </w:pPr>
          </w:p>
        </w:tc>
        <w:tc>
          <w:tcPr>
            <w:tcW w:w="250" w:type="pct"/>
            <w:hideMark/>
          </w:tcPr>
          <w:p w:rsidR="004B5D72" w:rsidRPr="004B5D72" w:rsidRDefault="004B5D72" w:rsidP="004B5D72">
            <w:pPr>
              <w:spacing w:after="0" w:line="240" w:lineRule="auto"/>
              <w:jc w:val="right"/>
              <w:rPr>
                <w:rFonts w:ascii="Arial" w:eastAsia="Times New Roman" w:hAnsi="Arial" w:cs="Arial"/>
                <w:color w:val="000000"/>
                <w:sz w:val="18"/>
                <w:szCs w:val="18"/>
                <w:lang w:eastAsia="es-UY"/>
              </w:rPr>
            </w:pPr>
            <w:r w:rsidRPr="004B5D72">
              <w:rPr>
                <w:rFonts w:ascii="Arial" w:eastAsia="Times New Roman" w:hAnsi="Arial" w:cs="Arial"/>
                <w:color w:val="000000"/>
                <w:sz w:val="18"/>
                <w:szCs w:val="18"/>
                <w:lang w:eastAsia="es-UY"/>
              </w:rPr>
              <w:t>3)</w:t>
            </w:r>
          </w:p>
        </w:tc>
        <w:tc>
          <w:tcPr>
            <w:tcW w:w="4500" w:type="pct"/>
            <w:hideMark/>
          </w:tcPr>
          <w:p w:rsidR="004B5D72" w:rsidRPr="004B5D72" w:rsidRDefault="004B5D72" w:rsidP="004B5D72">
            <w:pPr>
              <w:spacing w:after="240" w:line="240" w:lineRule="auto"/>
              <w:jc w:val="both"/>
              <w:rPr>
                <w:rFonts w:ascii="Arial" w:eastAsia="Times New Roman" w:hAnsi="Arial" w:cs="Arial"/>
                <w:color w:val="000000"/>
                <w:sz w:val="18"/>
                <w:szCs w:val="18"/>
                <w:lang w:eastAsia="es-UY"/>
              </w:rPr>
            </w:pPr>
            <w:r w:rsidRPr="004B5D72">
              <w:rPr>
                <w:rFonts w:ascii="Arial" w:eastAsia="Times New Roman" w:hAnsi="Arial" w:cs="Arial"/>
                <w:color w:val="000000"/>
                <w:sz w:val="18"/>
                <w:szCs w:val="18"/>
                <w:lang w:eastAsia="es-UY"/>
              </w:rPr>
              <w:t>Directores de División.</w:t>
            </w:r>
            <w:bookmarkStart w:id="1" w:name="_GoBack"/>
            <w:bookmarkEnd w:id="1"/>
          </w:p>
        </w:tc>
      </w:tr>
      <w:tr w:rsidR="004B5D72" w:rsidRPr="004B5D72" w:rsidTr="004B5D72">
        <w:trPr>
          <w:tblCellSpacing w:w="0" w:type="dxa"/>
        </w:trPr>
        <w:tc>
          <w:tcPr>
            <w:tcW w:w="250" w:type="pct"/>
            <w:vAlign w:val="center"/>
            <w:hideMark/>
          </w:tcPr>
          <w:p w:rsidR="004B5D72" w:rsidRPr="004B5D72" w:rsidRDefault="004B5D72" w:rsidP="004B5D72">
            <w:pPr>
              <w:spacing w:after="240" w:line="240" w:lineRule="auto"/>
              <w:jc w:val="both"/>
              <w:rPr>
                <w:rFonts w:ascii="Arial" w:eastAsia="Times New Roman" w:hAnsi="Arial" w:cs="Arial"/>
                <w:color w:val="000000"/>
                <w:sz w:val="18"/>
                <w:szCs w:val="18"/>
                <w:lang w:eastAsia="es-UY"/>
              </w:rPr>
            </w:pPr>
          </w:p>
        </w:tc>
        <w:tc>
          <w:tcPr>
            <w:tcW w:w="250" w:type="pct"/>
            <w:hideMark/>
          </w:tcPr>
          <w:p w:rsidR="004B5D72" w:rsidRPr="004B5D72" w:rsidRDefault="004B5D72" w:rsidP="004B5D72">
            <w:pPr>
              <w:spacing w:after="0" w:line="240" w:lineRule="auto"/>
              <w:jc w:val="right"/>
              <w:rPr>
                <w:rFonts w:ascii="Arial" w:eastAsia="Times New Roman" w:hAnsi="Arial" w:cs="Arial"/>
                <w:color w:val="000000"/>
                <w:sz w:val="18"/>
                <w:szCs w:val="18"/>
                <w:lang w:eastAsia="es-UY"/>
              </w:rPr>
            </w:pPr>
            <w:r w:rsidRPr="004B5D72">
              <w:rPr>
                <w:rFonts w:ascii="Arial" w:eastAsia="Times New Roman" w:hAnsi="Arial" w:cs="Arial"/>
                <w:color w:val="000000"/>
                <w:sz w:val="18"/>
                <w:szCs w:val="18"/>
                <w:lang w:eastAsia="es-UY"/>
              </w:rPr>
              <w:t>4)</w:t>
            </w:r>
          </w:p>
        </w:tc>
        <w:tc>
          <w:tcPr>
            <w:tcW w:w="4500" w:type="pct"/>
            <w:hideMark/>
          </w:tcPr>
          <w:p w:rsidR="004B5D72" w:rsidRPr="004B5D72" w:rsidRDefault="004B5D72" w:rsidP="004B5D72">
            <w:pPr>
              <w:spacing w:after="240" w:line="240" w:lineRule="auto"/>
              <w:jc w:val="both"/>
              <w:rPr>
                <w:rFonts w:ascii="Arial" w:eastAsia="Times New Roman" w:hAnsi="Arial" w:cs="Arial"/>
                <w:color w:val="000000"/>
                <w:sz w:val="18"/>
                <w:szCs w:val="18"/>
                <w:lang w:eastAsia="es-UY"/>
              </w:rPr>
            </w:pPr>
            <w:r w:rsidRPr="004B5D72">
              <w:rPr>
                <w:rFonts w:ascii="Arial" w:eastAsia="Times New Roman" w:hAnsi="Arial" w:cs="Arial"/>
                <w:color w:val="000000"/>
                <w:sz w:val="18"/>
                <w:szCs w:val="18"/>
                <w:lang w:eastAsia="es-UY"/>
              </w:rPr>
              <w:t>Director Nacional de Defensorías Públicas, Directores de Defensorías Públicas y del Servicio de Abogacía, Defensores Públicos, Secretario II de la Defensoría Pública y del Servicio de Abogacía, Asesores (Escribanos) de la Inspección General de Registros Notariales y Asesor (Abogado) de la División Jurídico Notarial.</w:t>
            </w:r>
          </w:p>
        </w:tc>
      </w:tr>
      <w:tr w:rsidR="004B5D72" w:rsidRPr="004B5D72" w:rsidTr="004B5D72">
        <w:trPr>
          <w:tblCellSpacing w:w="0" w:type="dxa"/>
        </w:trPr>
        <w:tc>
          <w:tcPr>
            <w:tcW w:w="250" w:type="pct"/>
            <w:vAlign w:val="center"/>
            <w:hideMark/>
          </w:tcPr>
          <w:p w:rsidR="004B5D72" w:rsidRPr="004B5D72" w:rsidRDefault="004B5D72" w:rsidP="004B5D72">
            <w:pPr>
              <w:spacing w:after="240" w:line="240" w:lineRule="auto"/>
              <w:jc w:val="both"/>
              <w:rPr>
                <w:rFonts w:ascii="Arial" w:eastAsia="Times New Roman" w:hAnsi="Arial" w:cs="Arial"/>
                <w:color w:val="000000"/>
                <w:sz w:val="18"/>
                <w:szCs w:val="18"/>
                <w:lang w:eastAsia="es-UY"/>
              </w:rPr>
            </w:pPr>
          </w:p>
        </w:tc>
        <w:tc>
          <w:tcPr>
            <w:tcW w:w="250" w:type="pct"/>
            <w:hideMark/>
          </w:tcPr>
          <w:p w:rsidR="004B5D72" w:rsidRPr="004B5D72" w:rsidRDefault="004B5D72" w:rsidP="004B5D72">
            <w:pPr>
              <w:spacing w:after="0" w:line="240" w:lineRule="auto"/>
              <w:jc w:val="right"/>
              <w:rPr>
                <w:rFonts w:ascii="Arial" w:eastAsia="Times New Roman" w:hAnsi="Arial" w:cs="Arial"/>
                <w:color w:val="000000"/>
                <w:sz w:val="18"/>
                <w:szCs w:val="18"/>
                <w:lang w:eastAsia="es-UY"/>
              </w:rPr>
            </w:pPr>
            <w:r w:rsidRPr="004B5D72">
              <w:rPr>
                <w:rFonts w:ascii="Arial" w:eastAsia="Times New Roman" w:hAnsi="Arial" w:cs="Arial"/>
                <w:color w:val="000000"/>
                <w:sz w:val="18"/>
                <w:szCs w:val="18"/>
                <w:lang w:eastAsia="es-UY"/>
              </w:rPr>
              <w:t>5)</w:t>
            </w:r>
          </w:p>
        </w:tc>
        <w:tc>
          <w:tcPr>
            <w:tcW w:w="4500" w:type="pct"/>
            <w:hideMark/>
          </w:tcPr>
          <w:p w:rsidR="004B5D72" w:rsidRPr="004B5D72" w:rsidRDefault="004B5D72" w:rsidP="004B5D72">
            <w:pPr>
              <w:spacing w:after="240" w:line="240" w:lineRule="auto"/>
              <w:jc w:val="both"/>
              <w:rPr>
                <w:rFonts w:ascii="Arial" w:eastAsia="Times New Roman" w:hAnsi="Arial" w:cs="Arial"/>
                <w:color w:val="000000"/>
                <w:sz w:val="18"/>
                <w:szCs w:val="18"/>
                <w:lang w:eastAsia="es-UY"/>
              </w:rPr>
            </w:pPr>
            <w:r w:rsidRPr="004B5D72">
              <w:rPr>
                <w:rFonts w:ascii="Arial" w:eastAsia="Times New Roman" w:hAnsi="Arial" w:cs="Arial"/>
                <w:color w:val="000000"/>
                <w:sz w:val="18"/>
                <w:szCs w:val="18"/>
                <w:lang w:eastAsia="es-UY"/>
              </w:rPr>
              <w:t>Actuarios y Actuarios Adjuntos.</w:t>
            </w:r>
          </w:p>
        </w:tc>
      </w:tr>
      <w:tr w:rsidR="004B5D72" w:rsidRPr="004B5D72" w:rsidTr="004B5D72">
        <w:trPr>
          <w:tblCellSpacing w:w="0" w:type="dxa"/>
        </w:trPr>
        <w:tc>
          <w:tcPr>
            <w:tcW w:w="250" w:type="pct"/>
            <w:vAlign w:val="center"/>
            <w:hideMark/>
          </w:tcPr>
          <w:p w:rsidR="004B5D72" w:rsidRPr="004B5D72" w:rsidRDefault="004B5D72" w:rsidP="004B5D72">
            <w:pPr>
              <w:spacing w:after="240" w:line="240" w:lineRule="auto"/>
              <w:jc w:val="both"/>
              <w:rPr>
                <w:rFonts w:ascii="Arial" w:eastAsia="Times New Roman" w:hAnsi="Arial" w:cs="Arial"/>
                <w:color w:val="000000"/>
                <w:sz w:val="18"/>
                <w:szCs w:val="18"/>
                <w:lang w:eastAsia="es-UY"/>
              </w:rPr>
            </w:pPr>
          </w:p>
        </w:tc>
        <w:tc>
          <w:tcPr>
            <w:tcW w:w="250" w:type="pct"/>
            <w:hideMark/>
          </w:tcPr>
          <w:p w:rsidR="004B5D72" w:rsidRPr="004B5D72" w:rsidRDefault="004B5D72" w:rsidP="004B5D72">
            <w:pPr>
              <w:spacing w:after="0" w:line="240" w:lineRule="auto"/>
              <w:jc w:val="right"/>
              <w:rPr>
                <w:rFonts w:ascii="Arial" w:eastAsia="Times New Roman" w:hAnsi="Arial" w:cs="Arial"/>
                <w:color w:val="000000"/>
                <w:sz w:val="18"/>
                <w:szCs w:val="18"/>
                <w:lang w:eastAsia="es-UY"/>
              </w:rPr>
            </w:pPr>
            <w:r w:rsidRPr="004B5D72">
              <w:rPr>
                <w:rFonts w:ascii="Arial" w:eastAsia="Times New Roman" w:hAnsi="Arial" w:cs="Arial"/>
                <w:color w:val="000000"/>
                <w:sz w:val="18"/>
                <w:szCs w:val="18"/>
                <w:lang w:eastAsia="es-UY"/>
              </w:rPr>
              <w:t>6)</w:t>
            </w:r>
          </w:p>
        </w:tc>
        <w:tc>
          <w:tcPr>
            <w:tcW w:w="4500" w:type="pct"/>
            <w:hideMark/>
          </w:tcPr>
          <w:p w:rsidR="004B5D72" w:rsidRPr="004B5D72" w:rsidRDefault="004B5D72" w:rsidP="004B5D72">
            <w:pPr>
              <w:spacing w:after="240" w:line="240" w:lineRule="auto"/>
              <w:jc w:val="both"/>
              <w:rPr>
                <w:rFonts w:ascii="Arial" w:eastAsia="Times New Roman" w:hAnsi="Arial" w:cs="Arial"/>
                <w:color w:val="000000"/>
                <w:sz w:val="18"/>
                <w:szCs w:val="18"/>
                <w:lang w:eastAsia="es-UY"/>
              </w:rPr>
            </w:pPr>
            <w:r w:rsidRPr="004B5D72">
              <w:rPr>
                <w:rFonts w:ascii="Arial" w:eastAsia="Times New Roman" w:hAnsi="Arial" w:cs="Arial"/>
                <w:color w:val="000000"/>
                <w:sz w:val="18"/>
                <w:szCs w:val="18"/>
                <w:lang w:eastAsia="es-UY"/>
              </w:rPr>
              <w:t>Directores de Jurisprudencia.</w:t>
            </w:r>
          </w:p>
        </w:tc>
      </w:tr>
    </w:tbl>
    <w:p w:rsidR="004B5D72" w:rsidRPr="004B5D72" w:rsidRDefault="004B5D72" w:rsidP="004B5D72">
      <w:pPr>
        <w:spacing w:after="0" w:line="240" w:lineRule="auto"/>
        <w:rPr>
          <w:rFonts w:ascii="Times New Roman" w:eastAsia="Times New Roman" w:hAnsi="Times New Roman" w:cs="Times New Roman"/>
          <w:vanish/>
          <w:sz w:val="24"/>
          <w:szCs w:val="24"/>
          <w:lang w:eastAsia="es-UY"/>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55"/>
        <w:gridCol w:w="8249"/>
      </w:tblGrid>
      <w:tr w:rsidR="004B5D72" w:rsidRPr="004B5D72" w:rsidTr="004B5D72">
        <w:trPr>
          <w:tblCellSpacing w:w="0" w:type="dxa"/>
        </w:trPr>
        <w:tc>
          <w:tcPr>
            <w:tcW w:w="150" w:type="pct"/>
            <w:vAlign w:val="center"/>
            <w:hideMark/>
          </w:tcPr>
          <w:p w:rsidR="004B5D72" w:rsidRPr="004B5D72" w:rsidRDefault="004B5D72" w:rsidP="004B5D72">
            <w:pPr>
              <w:spacing w:after="0" w:line="240" w:lineRule="auto"/>
              <w:rPr>
                <w:rFonts w:ascii="Times New Roman" w:eastAsia="Times New Roman" w:hAnsi="Times New Roman" w:cs="Times New Roman"/>
                <w:sz w:val="24"/>
                <w:szCs w:val="24"/>
                <w:lang w:eastAsia="es-UY"/>
              </w:rPr>
            </w:pPr>
          </w:p>
        </w:tc>
        <w:tc>
          <w:tcPr>
            <w:tcW w:w="4850" w:type="pct"/>
            <w:hideMark/>
          </w:tcPr>
          <w:p w:rsidR="004B5D72" w:rsidRPr="004B5D72" w:rsidRDefault="004B5D72" w:rsidP="004B5D72">
            <w:pPr>
              <w:spacing w:after="240" w:line="240" w:lineRule="auto"/>
              <w:jc w:val="both"/>
              <w:rPr>
                <w:rFonts w:ascii="Arial" w:eastAsia="Times New Roman" w:hAnsi="Arial" w:cs="Arial"/>
                <w:color w:val="000000"/>
                <w:sz w:val="18"/>
                <w:szCs w:val="18"/>
                <w:lang w:eastAsia="es-UY"/>
              </w:rPr>
            </w:pPr>
            <w:r w:rsidRPr="004B5D72">
              <w:rPr>
                <w:rFonts w:ascii="Arial" w:eastAsia="Times New Roman" w:hAnsi="Arial" w:cs="Arial"/>
                <w:color w:val="000000"/>
                <w:sz w:val="18"/>
                <w:szCs w:val="18"/>
                <w:lang w:eastAsia="es-UY"/>
              </w:rPr>
              <w:t>  Los titulares de los cargos mencionados en los numerales 1) y 5) de este artículo que no hayan optado por el régimen de dedicación total al momento de su designación podrán hacerlo posteriormente con carácter definitivo.</w:t>
            </w:r>
          </w:p>
        </w:tc>
      </w:tr>
      <w:tr w:rsidR="004B5D72" w:rsidRPr="004B5D72" w:rsidTr="004B5D72">
        <w:trPr>
          <w:tblCellSpacing w:w="0" w:type="dxa"/>
        </w:trPr>
        <w:tc>
          <w:tcPr>
            <w:tcW w:w="150" w:type="pct"/>
            <w:vAlign w:val="center"/>
            <w:hideMark/>
          </w:tcPr>
          <w:p w:rsidR="004B5D72" w:rsidRPr="004B5D72" w:rsidRDefault="004B5D72" w:rsidP="004B5D72">
            <w:pPr>
              <w:spacing w:after="240" w:line="240" w:lineRule="auto"/>
              <w:jc w:val="both"/>
              <w:rPr>
                <w:rFonts w:ascii="Arial" w:eastAsia="Times New Roman" w:hAnsi="Arial" w:cs="Arial"/>
                <w:color w:val="000000"/>
                <w:sz w:val="18"/>
                <w:szCs w:val="18"/>
                <w:lang w:eastAsia="es-UY"/>
              </w:rPr>
            </w:pPr>
          </w:p>
        </w:tc>
        <w:tc>
          <w:tcPr>
            <w:tcW w:w="4850" w:type="pct"/>
            <w:hideMark/>
          </w:tcPr>
          <w:p w:rsidR="004B5D72" w:rsidRPr="004B5D72" w:rsidRDefault="004B5D72" w:rsidP="004B5D72">
            <w:pPr>
              <w:spacing w:after="240" w:line="240" w:lineRule="auto"/>
              <w:jc w:val="both"/>
              <w:rPr>
                <w:rFonts w:ascii="Arial" w:eastAsia="Times New Roman" w:hAnsi="Arial" w:cs="Arial"/>
                <w:color w:val="000000"/>
                <w:sz w:val="18"/>
                <w:szCs w:val="18"/>
                <w:lang w:eastAsia="es-UY"/>
              </w:rPr>
            </w:pPr>
            <w:r w:rsidRPr="004B5D72">
              <w:rPr>
                <w:rFonts w:ascii="Arial" w:eastAsia="Times New Roman" w:hAnsi="Arial" w:cs="Arial"/>
                <w:color w:val="000000"/>
                <w:sz w:val="18"/>
                <w:szCs w:val="18"/>
                <w:lang w:eastAsia="es-UY"/>
              </w:rPr>
              <w:t>  Los titulares de los cargos referidos en el numeral 6) de este artículo podrán realizar la opción dentro del término de sesenta días contados desde la entrada en vigencia de la presente modificación.</w:t>
            </w:r>
          </w:p>
        </w:tc>
      </w:tr>
      <w:tr w:rsidR="004B5D72" w:rsidRPr="004B5D72" w:rsidTr="004B5D72">
        <w:trPr>
          <w:tblCellSpacing w:w="0" w:type="dxa"/>
        </w:trPr>
        <w:tc>
          <w:tcPr>
            <w:tcW w:w="150" w:type="pct"/>
            <w:vAlign w:val="center"/>
            <w:hideMark/>
          </w:tcPr>
          <w:p w:rsidR="004B5D72" w:rsidRPr="004B5D72" w:rsidRDefault="004B5D72" w:rsidP="004B5D72">
            <w:pPr>
              <w:spacing w:after="240" w:line="240" w:lineRule="auto"/>
              <w:jc w:val="both"/>
              <w:rPr>
                <w:rFonts w:ascii="Arial" w:eastAsia="Times New Roman" w:hAnsi="Arial" w:cs="Arial"/>
                <w:color w:val="000000"/>
                <w:sz w:val="18"/>
                <w:szCs w:val="18"/>
                <w:lang w:eastAsia="es-UY"/>
              </w:rPr>
            </w:pPr>
          </w:p>
        </w:tc>
        <w:tc>
          <w:tcPr>
            <w:tcW w:w="4850" w:type="pct"/>
            <w:hideMark/>
          </w:tcPr>
          <w:p w:rsidR="004B5D72" w:rsidRPr="004B5D72" w:rsidRDefault="004B5D72" w:rsidP="004B5D72">
            <w:pPr>
              <w:spacing w:after="0" w:line="240" w:lineRule="auto"/>
              <w:jc w:val="both"/>
              <w:rPr>
                <w:rFonts w:ascii="Arial" w:eastAsia="Times New Roman" w:hAnsi="Arial" w:cs="Arial"/>
                <w:color w:val="000000"/>
                <w:sz w:val="18"/>
                <w:szCs w:val="18"/>
                <w:lang w:eastAsia="es-UY"/>
              </w:rPr>
            </w:pPr>
            <w:r w:rsidRPr="004B5D72">
              <w:rPr>
                <w:rFonts w:ascii="Arial" w:eastAsia="Times New Roman" w:hAnsi="Arial" w:cs="Arial"/>
                <w:color w:val="000000"/>
                <w:sz w:val="18"/>
                <w:szCs w:val="18"/>
                <w:lang w:eastAsia="es-UY"/>
              </w:rPr>
              <w:t>  Los funcionarios que a la fecha de entrada en vigencia de la presente modificación ocupen cargos de los mencionados en el presente artículo y no hayan optado por el régimen de dedicación total, conservarán los derechos adquiridos de acuerdo a la redacción de la norma vigente al momento de su designación".</w:t>
            </w:r>
          </w:p>
        </w:tc>
      </w:tr>
    </w:tbl>
    <w:p w:rsidR="00754A31" w:rsidRDefault="00754A31" w:rsidP="007C2CBE"/>
    <w:p w:rsidR="007033E4" w:rsidRPr="007C2CBE" w:rsidRDefault="007033E4" w:rsidP="007C2CBE">
      <w:bookmarkStart w:id="2" w:name="art399"/>
      <w:r w:rsidRPr="007033E4">
        <w:rPr>
          <w:rFonts w:ascii="Arial" w:hAnsi="Arial" w:cs="Arial"/>
          <w:b/>
          <w:color w:val="000000"/>
          <w:sz w:val="18"/>
          <w:szCs w:val="18"/>
          <w:u w:val="single"/>
          <w:shd w:val="clear" w:color="auto" w:fill="FFFFFF"/>
        </w:rPr>
        <w:t>Artículo 399</w:t>
      </w:r>
      <w:bookmarkEnd w:id="2"/>
      <w:r>
        <w:rPr>
          <w:rFonts w:ascii="Arial" w:hAnsi="Arial" w:cs="Arial"/>
          <w:color w:val="000000"/>
          <w:sz w:val="18"/>
          <w:szCs w:val="18"/>
          <w:shd w:val="clear" w:color="auto" w:fill="FFFFFF"/>
        </w:rPr>
        <w:t>.- Los profesionales de las Defensorías de Oficio Públicas, con título universitario que ocupen el cargo de Procurador a la fecha de la entrada en vigencia de la presente ley, mantendrán todos sus derechos conforme a lo establecido por el artículo 135 de la</w:t>
      </w:r>
      <w:r>
        <w:rPr>
          <w:rStyle w:val="apple-converted-space"/>
          <w:rFonts w:ascii="Arial" w:hAnsi="Arial" w:cs="Arial"/>
          <w:color w:val="000000"/>
          <w:sz w:val="18"/>
          <w:szCs w:val="18"/>
          <w:shd w:val="clear" w:color="auto" w:fill="FFFFFF"/>
        </w:rPr>
        <w:t> </w:t>
      </w:r>
      <w:hyperlink r:id="rId6" w:history="1">
        <w:r>
          <w:rPr>
            <w:rStyle w:val="Hipervnculo"/>
            <w:rFonts w:ascii="Arial" w:hAnsi="Arial" w:cs="Arial"/>
            <w:color w:val="006699"/>
            <w:sz w:val="18"/>
            <w:szCs w:val="18"/>
            <w:shd w:val="clear" w:color="auto" w:fill="FFFFFF"/>
          </w:rPr>
          <w:t>Ley Nº 16.462</w:t>
        </w:r>
      </w:hyperlink>
      <w:r>
        <w:rPr>
          <w:rFonts w:ascii="Arial" w:hAnsi="Arial" w:cs="Arial"/>
          <w:color w:val="000000"/>
          <w:sz w:val="18"/>
          <w:szCs w:val="18"/>
          <w:shd w:val="clear" w:color="auto" w:fill="FFFFFF"/>
        </w:rPr>
        <w:t>, de 11 de enero de 1994.</w:t>
      </w:r>
    </w:p>
    <w:sectPr w:rsidR="007033E4" w:rsidRPr="007C2C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6E"/>
    <w:rsid w:val="0034636E"/>
    <w:rsid w:val="004B26D4"/>
    <w:rsid w:val="004B5D72"/>
    <w:rsid w:val="00546D27"/>
    <w:rsid w:val="007033E4"/>
    <w:rsid w:val="00711637"/>
    <w:rsid w:val="00754A31"/>
    <w:rsid w:val="007C2CBE"/>
    <w:rsid w:val="00972ACD"/>
    <w:rsid w:val="009806F8"/>
    <w:rsid w:val="00A81764"/>
    <w:rsid w:val="00BB0ABD"/>
    <w:rsid w:val="00C34494"/>
    <w:rsid w:val="00EA2D74"/>
    <w:rsid w:val="00F97DC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E48E5-F313-4BAD-9CE1-F0E3E3D6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7C2CBE"/>
    <w:pPr>
      <w:spacing w:before="100" w:beforeAutospacing="1" w:after="100" w:afterAutospacing="1" w:line="240" w:lineRule="auto"/>
      <w:outlineLvl w:val="1"/>
    </w:pPr>
    <w:rPr>
      <w:rFonts w:ascii="Times New Roman" w:eastAsia="Times New Roman" w:hAnsi="Times New Roman" w:cs="Times New Roman"/>
      <w:b/>
      <w:bCs/>
      <w:sz w:val="36"/>
      <w:szCs w:val="36"/>
      <w:lang w:eastAsia="es-UY"/>
    </w:rPr>
  </w:style>
  <w:style w:type="paragraph" w:styleId="Ttulo3">
    <w:name w:val="heading 3"/>
    <w:basedOn w:val="Normal"/>
    <w:link w:val="Ttulo3Car"/>
    <w:uiPriority w:val="9"/>
    <w:qFormat/>
    <w:rsid w:val="007C2CBE"/>
    <w:pPr>
      <w:spacing w:before="100" w:beforeAutospacing="1" w:after="100" w:afterAutospacing="1" w:line="240" w:lineRule="auto"/>
      <w:outlineLvl w:val="2"/>
    </w:pPr>
    <w:rPr>
      <w:rFonts w:ascii="Times New Roman" w:eastAsia="Times New Roman" w:hAnsi="Times New Roman" w:cs="Times New Roman"/>
      <w:b/>
      <w:bCs/>
      <w:sz w:val="27"/>
      <w:szCs w:val="27"/>
      <w:lang w:eastAsia="es-UY"/>
    </w:rPr>
  </w:style>
  <w:style w:type="paragraph" w:styleId="Ttulo4">
    <w:name w:val="heading 4"/>
    <w:basedOn w:val="Normal"/>
    <w:link w:val="Ttulo4Car"/>
    <w:uiPriority w:val="9"/>
    <w:qFormat/>
    <w:rsid w:val="007C2CBE"/>
    <w:pPr>
      <w:spacing w:before="100" w:beforeAutospacing="1" w:after="100" w:afterAutospacing="1" w:line="240" w:lineRule="auto"/>
      <w:outlineLvl w:val="3"/>
    </w:pPr>
    <w:rPr>
      <w:rFonts w:ascii="Times New Roman" w:eastAsia="Times New Roman" w:hAnsi="Times New Roman" w:cs="Times New Roman"/>
      <w:b/>
      <w:bCs/>
      <w:sz w:val="24"/>
      <w:szCs w:val="24"/>
      <w:lang w:eastAsia="es-UY"/>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C2CBE"/>
    <w:rPr>
      <w:rFonts w:ascii="Times New Roman" w:eastAsia="Times New Roman" w:hAnsi="Times New Roman" w:cs="Times New Roman"/>
      <w:b/>
      <w:bCs/>
      <w:sz w:val="36"/>
      <w:szCs w:val="36"/>
      <w:lang w:eastAsia="es-UY"/>
    </w:rPr>
  </w:style>
  <w:style w:type="character" w:customStyle="1" w:styleId="Ttulo3Car">
    <w:name w:val="Título 3 Car"/>
    <w:basedOn w:val="Fuentedeprrafopredeter"/>
    <w:link w:val="Ttulo3"/>
    <w:uiPriority w:val="9"/>
    <w:rsid w:val="007C2CBE"/>
    <w:rPr>
      <w:rFonts w:ascii="Times New Roman" w:eastAsia="Times New Roman" w:hAnsi="Times New Roman" w:cs="Times New Roman"/>
      <w:b/>
      <w:bCs/>
      <w:sz w:val="27"/>
      <w:szCs w:val="27"/>
      <w:lang w:eastAsia="es-UY"/>
    </w:rPr>
  </w:style>
  <w:style w:type="character" w:customStyle="1" w:styleId="Ttulo4Car">
    <w:name w:val="Título 4 Car"/>
    <w:basedOn w:val="Fuentedeprrafopredeter"/>
    <w:link w:val="Ttulo4"/>
    <w:uiPriority w:val="9"/>
    <w:rsid w:val="007C2CBE"/>
    <w:rPr>
      <w:rFonts w:ascii="Times New Roman" w:eastAsia="Times New Roman" w:hAnsi="Times New Roman" w:cs="Times New Roman"/>
      <w:b/>
      <w:bCs/>
      <w:sz w:val="24"/>
      <w:szCs w:val="24"/>
      <w:lang w:eastAsia="es-UY"/>
    </w:rPr>
  </w:style>
  <w:style w:type="paragraph" w:styleId="NormalWeb">
    <w:name w:val="Normal (Web)"/>
    <w:basedOn w:val="Normal"/>
    <w:uiPriority w:val="99"/>
    <w:semiHidden/>
    <w:unhideWhenUsed/>
    <w:rsid w:val="007C2CBE"/>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apple-converted-space">
    <w:name w:val="apple-converted-space"/>
    <w:basedOn w:val="Fuentedeprrafopredeter"/>
    <w:rsid w:val="007C2CBE"/>
  </w:style>
  <w:style w:type="character" w:styleId="Hipervnculo">
    <w:name w:val="Hyperlink"/>
    <w:basedOn w:val="Fuentedeprrafopredeter"/>
    <w:uiPriority w:val="99"/>
    <w:semiHidden/>
    <w:unhideWhenUsed/>
    <w:rsid w:val="007C2C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6580">
      <w:bodyDiv w:val="1"/>
      <w:marLeft w:val="0"/>
      <w:marRight w:val="0"/>
      <w:marTop w:val="0"/>
      <w:marBottom w:val="0"/>
      <w:divBdr>
        <w:top w:val="none" w:sz="0" w:space="0" w:color="auto"/>
        <w:left w:val="none" w:sz="0" w:space="0" w:color="auto"/>
        <w:bottom w:val="none" w:sz="0" w:space="0" w:color="auto"/>
        <w:right w:val="none" w:sz="0" w:space="0" w:color="auto"/>
      </w:divBdr>
    </w:div>
    <w:div w:id="1409108805">
      <w:bodyDiv w:val="1"/>
      <w:marLeft w:val="0"/>
      <w:marRight w:val="0"/>
      <w:marTop w:val="0"/>
      <w:marBottom w:val="0"/>
      <w:divBdr>
        <w:top w:val="none" w:sz="0" w:space="0" w:color="auto"/>
        <w:left w:val="none" w:sz="0" w:space="0" w:color="auto"/>
        <w:bottom w:val="none" w:sz="0" w:space="0" w:color="auto"/>
        <w:right w:val="none" w:sz="0" w:space="0" w:color="auto"/>
      </w:divBdr>
    </w:div>
    <w:div w:id="195489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slativo.parlamento.gub.uy/temporales/aresuelveref.aspx?LEY,16462/art135/HTM" TargetMode="External"/><Relationship Id="rId5" Type="http://schemas.openxmlformats.org/officeDocument/2006/relationships/hyperlink" Target="https://legislativo.parlamento.gub.uy/temporales/aresuelveref.aspx?LEY,12803/art158/HTM" TargetMode="External"/><Relationship Id="rId4" Type="http://schemas.openxmlformats.org/officeDocument/2006/relationships/hyperlink" Target="https://legislativo.parlamento.gub.uy/temporales/aresuelveref.aspx?LEY,15809/art51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2299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3</cp:revision>
  <dcterms:created xsi:type="dcterms:W3CDTF">2017-01-23T03:06:00Z</dcterms:created>
  <dcterms:modified xsi:type="dcterms:W3CDTF">2017-01-23T03:06:00Z</dcterms:modified>
</cp:coreProperties>
</file>